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8D0E" w14:textId="77777777" w:rsidR="00327A51" w:rsidRPr="004E42E4" w:rsidRDefault="00327A51" w:rsidP="00327A5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>O‘zbekiston</w:t>
      </w:r>
      <w:proofErr w:type="spellEnd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>Respublikasidagi</w:t>
      </w:r>
      <w:proofErr w:type="spellEnd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>omonatlarni</w:t>
      </w:r>
      <w:proofErr w:type="spellEnd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>kafolatlash</w:t>
      </w:r>
      <w:proofErr w:type="spellEnd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>tizimi</w:t>
      </w:r>
      <w:proofErr w:type="spellEnd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E42E4">
        <w:rPr>
          <w:rFonts w:ascii="Times New Roman" w:hAnsi="Times New Roman" w:cs="Times New Roman"/>
          <w:b/>
          <w:bCs/>
          <w:sz w:val="24"/>
          <w:szCs w:val="24"/>
          <w:lang w:val="en-US"/>
        </w:rPr>
        <w:t>to‘g‘risida</w:t>
      </w:r>
      <w:proofErr w:type="spellEnd"/>
    </w:p>
    <w:p w14:paraId="1B3D10E1" w14:textId="77777777" w:rsidR="00327A51" w:rsidRPr="004E42E4" w:rsidRDefault="00327A51" w:rsidP="00327A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42E4">
        <w:rPr>
          <w:rFonts w:ascii="Times New Roman" w:hAnsi="Times New Roman" w:cs="Times New Roman"/>
          <w:b/>
          <w:bCs/>
          <w:sz w:val="24"/>
          <w:szCs w:val="24"/>
        </w:rPr>
        <w:t>AXBOROT</w:t>
      </w:r>
    </w:p>
    <w:tbl>
      <w:tblPr>
        <w:tblW w:w="5157" w:type="pct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70"/>
        <w:gridCol w:w="5449"/>
      </w:tblGrid>
      <w:tr w:rsidR="00327A51" w:rsidRPr="00C64D4D" w14:paraId="265AEAA2" w14:textId="77777777" w:rsidTr="00527C75">
        <w:trPr>
          <w:trHeight w:val="284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BD4376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D1B06D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 ga</w:t>
            </w:r>
          </w:p>
          <w:p w14:paraId="526A2608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____ </w:t>
            </w:r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 xml:space="preserve">(bank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nomi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en-US"/>
              </w:rPr>
              <w:t>)</w:t>
            </w:r>
          </w:p>
          <w:p w14:paraId="4D41D1FA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joylashtirilgan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omonatlar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kafolatlanishi</w:t>
            </w:r>
            <w:proofErr w:type="spellEnd"/>
          </w:p>
        </w:tc>
        <w:tc>
          <w:tcPr>
            <w:tcW w:w="28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215230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Bankdagi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Omonatlarni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kafolatlash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agentligi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tomonidan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kafolatlanadi</w:t>
            </w:r>
            <w:proofErr w:type="spellEnd"/>
          </w:p>
        </w:tc>
      </w:tr>
      <w:tr w:rsidR="00327A51" w:rsidRPr="00C64D4D" w14:paraId="51BBC2D3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E8119C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F84F75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Omonatlarni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kafolatlash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asoslari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0D27C6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O‘zbekiston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Respublikasining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Banklardagi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omonatlarni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himoya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to‘g‘risida»gi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Qonuni</w:t>
            </w:r>
            <w:proofErr w:type="spellEnd"/>
          </w:p>
        </w:tc>
      </w:tr>
      <w:tr w:rsidR="00327A51" w:rsidRPr="004E42E4" w14:paraId="0F39A276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2E0813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F87834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Kafolatlash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hodisasi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281851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Bankning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tugatilishi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yopilishi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7A51" w:rsidRPr="004E42E4" w14:paraId="712C7D98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1A43D6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A940B5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Kafolatlanadigan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omonatlar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turi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244309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Talab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qilib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olinguncha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saqlanadigan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omonatlar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42E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elektron hamyon,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kartalaridagi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mablag‘lar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muddatli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jamg‘arma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omonatlar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shuningdek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mazkur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omonatlar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bo‘yicha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hisoblangan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foizlar</w:t>
            </w:r>
            <w:proofErr w:type="spellEnd"/>
          </w:p>
        </w:tc>
      </w:tr>
      <w:tr w:rsidR="00327A51" w:rsidRPr="00C64D4D" w14:paraId="7E1C3ED2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DB1B71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B89531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miqdori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405C28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Bank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tugatilganda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omonatchiga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hisoblangan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foizlarni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inobatga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to‘lanadigan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200 000 000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so‘mdan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oshmaydi</w:t>
            </w:r>
            <w:proofErr w:type="spellEnd"/>
          </w:p>
        </w:tc>
      </w:tr>
      <w:tr w:rsidR="00327A51" w:rsidRPr="00C64D4D" w14:paraId="2DCC17F4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A30BC2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06C28E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Bir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bankda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omonatchining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bir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nechta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omonatlari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mavjud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bo‘lgan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taqdirda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to‘lanadigan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miqdori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629A74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Omonatning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valyutasidan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qat’i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omonatchining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ushbu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bankdagi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uning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42E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Bank tarmoq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laridagi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omonatlari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hisoblangan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foizlar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jamlanadi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to‘lanadigan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kompensatsiyaning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umumiy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200 000 000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so‘mdan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oshmaydi</w:t>
            </w:r>
            <w:proofErr w:type="spellEnd"/>
          </w:p>
        </w:tc>
      </w:tr>
      <w:tr w:rsidR="00327A51" w:rsidRPr="00C64D4D" w14:paraId="52AE7F21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BFADE2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7E5A19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Bir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nechta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tugatilgan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holda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miqdori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531DE4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Bir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nechta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tugatilgan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taqdirda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mazkur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banklarda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omonatlari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mavjud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bo‘lgan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omonatchi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alohida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tartibda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200 000 000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so‘mdan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oshmagan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miqdorda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huquqiga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</w:t>
            </w:r>
            <w:proofErr w:type="spellEnd"/>
          </w:p>
        </w:tc>
      </w:tr>
      <w:tr w:rsidR="00327A51" w:rsidRPr="00C64D4D" w14:paraId="2A172FFB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5003E3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B1C85A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to‘lash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muddati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5FD09B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Bankni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tugatish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yopish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to‘g‘risida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qaror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qabul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qilingan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e’tiboran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mobaynida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8D28EB7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2026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yanvardan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boshlab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— 15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0B9FC76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2027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yanvardan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boshlab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— 7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27A51" w:rsidRPr="00C64D4D" w14:paraId="1F9F93FD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98866D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69E00F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to‘lanadigan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valyuta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C57ED5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Chet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valyutasida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qo‘yilgan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omonatlar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kompensatsiya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tugatilgan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yopilgan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sanadagi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O‘zbekiston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Respublikasi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Markaziy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kursi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bo‘yicha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milliy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valyutada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so‘mda</w:t>
            </w:r>
            <w:proofErr w:type="spellEnd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E42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to‘lanadi</w:t>
            </w:r>
            <w:proofErr w:type="spellEnd"/>
          </w:p>
        </w:tc>
      </w:tr>
      <w:tr w:rsidR="00327A51" w:rsidRPr="00C64D4D" w14:paraId="6D1AED96" w14:textId="77777777" w:rsidTr="00527C75">
        <w:trPr>
          <w:trHeight w:val="284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FD05E2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D7990D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Bog‘lanish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uchun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ma’lumotlar</w:t>
            </w:r>
            <w:proofErr w:type="spellEnd"/>
          </w:p>
        </w:tc>
        <w:tc>
          <w:tcPr>
            <w:tcW w:w="28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175B6A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Omonatlarni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kafolatlash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agentligining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manzili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telefon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raqamlari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el.pochta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manzili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veb-sayt</w:t>
            </w:r>
            <w:proofErr w:type="spellEnd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manzili</w:t>
            </w:r>
            <w:proofErr w:type="spellEnd"/>
          </w:p>
        </w:tc>
      </w:tr>
      <w:tr w:rsidR="00327A51" w:rsidRPr="00C64D4D" w14:paraId="2E0C02E2" w14:textId="77777777" w:rsidTr="00527C75">
        <w:trPr>
          <w:trHeight w:val="284"/>
        </w:trPr>
        <w:tc>
          <w:tcPr>
            <w:tcW w:w="368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98BE7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2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8F2DD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0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9C8E0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27A51" w:rsidRPr="004E42E4" w14:paraId="46C54779" w14:textId="77777777" w:rsidTr="00527C75">
        <w:trPr>
          <w:trHeight w:val="284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DD752D9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Omonatchi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xabardor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qilindi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9211E4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327A51" w:rsidRPr="004E42E4" w14:paraId="7A84F6F1" w14:textId="77777777" w:rsidTr="00527C75">
        <w:trPr>
          <w:trHeight w:val="284"/>
        </w:trPr>
        <w:tc>
          <w:tcPr>
            <w:tcW w:w="2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53B929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</w:t>
            </w:r>
            <w:proofErr w:type="spellEnd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imzo</w:t>
            </w:r>
            <w:proofErr w:type="spellEnd"/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F32952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327A51" w:rsidRPr="004E42E4" w14:paraId="47E2FEA2" w14:textId="77777777" w:rsidTr="00527C75">
        <w:trPr>
          <w:trHeight w:val="284"/>
        </w:trPr>
        <w:tc>
          <w:tcPr>
            <w:tcW w:w="2170" w:type="pct"/>
            <w:gridSpan w:val="2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0278AE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0" w:type="pc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DC923D" w14:textId="77777777" w:rsidR="00327A51" w:rsidRPr="004E42E4" w:rsidRDefault="00327A51" w:rsidP="00527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2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6620B244" w14:textId="77777777" w:rsidR="00FE3AB8" w:rsidRDefault="00FE3AB8"/>
    <w:sectPr w:rsidR="00FE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51"/>
    <w:rsid w:val="002940E3"/>
    <w:rsid w:val="00327A51"/>
    <w:rsid w:val="00CB723B"/>
    <w:rsid w:val="00CC7893"/>
    <w:rsid w:val="00F72020"/>
    <w:rsid w:val="00FC63BC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6289"/>
  <w15:chartTrackingRefBased/>
  <w15:docId w15:val="{9DAADD2E-4510-41DD-9750-EEF7EC19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A51"/>
  </w:style>
  <w:style w:type="paragraph" w:styleId="1">
    <w:name w:val="heading 1"/>
    <w:basedOn w:val="a"/>
    <w:next w:val="a"/>
    <w:link w:val="10"/>
    <w:uiPriority w:val="9"/>
    <w:qFormat/>
    <w:rsid w:val="00327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7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7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7A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7A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7A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7A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7A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7A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7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7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7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7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7A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7A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7A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7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7A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7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Gavxarxon M. Murodova</dc:creator>
  <cp:keywords/>
  <dc:description/>
  <cp:lastModifiedBy>Ясмина Ходжиева</cp:lastModifiedBy>
  <cp:revision>2</cp:revision>
  <dcterms:created xsi:type="dcterms:W3CDTF">2026-02-23T11:01:00Z</dcterms:created>
  <dcterms:modified xsi:type="dcterms:W3CDTF">2026-02-23T11:01:00Z</dcterms:modified>
</cp:coreProperties>
</file>